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DB" w:rsidRPr="007D4DDB" w:rsidRDefault="007D4DDB" w:rsidP="007D4DDB">
      <w:pPr>
        <w:shd w:val="clear" w:color="auto" w:fill="FFFFFF"/>
        <w:spacing w:after="161" w:line="240" w:lineRule="auto"/>
        <w:outlineLvl w:val="0"/>
        <w:rPr>
          <w:rFonts w:ascii="Helvetica" w:eastAsia="Times New Roman" w:hAnsi="Helvetica" w:cs="Times New Roman"/>
          <w:color w:val="A3792C"/>
          <w:kern w:val="36"/>
          <w:sz w:val="42"/>
          <w:szCs w:val="42"/>
        </w:rPr>
      </w:pPr>
      <w:r w:rsidRPr="007D4DDB">
        <w:rPr>
          <w:rFonts w:ascii="Helvetica" w:eastAsia="Times New Roman" w:hAnsi="Helvetica" w:cs="Times New Roman"/>
          <w:color w:val="A3792C"/>
          <w:kern w:val="36"/>
          <w:sz w:val="42"/>
          <w:szCs w:val="42"/>
        </w:rPr>
        <w:t>EEE General Education Program Requirements</w:t>
      </w:r>
    </w:p>
    <w:p w:rsidR="007D4DDB" w:rsidRPr="007D4DDB" w:rsidRDefault="007D4DDB" w:rsidP="007D4DDB">
      <w:pPr>
        <w:shd w:val="clear" w:color="auto" w:fill="FFFFFF"/>
        <w:spacing w:before="300" w:after="150" w:line="240" w:lineRule="auto"/>
        <w:outlineLvl w:val="1"/>
        <w:rPr>
          <w:rFonts w:ascii="Helvetica" w:eastAsia="Times New Roman" w:hAnsi="Helvetica" w:cs="Times New Roman"/>
          <w:color w:val="A3792C"/>
          <w:sz w:val="36"/>
          <w:szCs w:val="36"/>
        </w:rPr>
      </w:pPr>
      <w:r w:rsidRPr="007D4DDB">
        <w:rPr>
          <w:rFonts w:ascii="Helvetica" w:eastAsia="Times New Roman" w:hAnsi="Helvetica" w:cs="Times New Roman"/>
          <w:color w:val="A3792C"/>
          <w:sz w:val="36"/>
          <w:szCs w:val="36"/>
        </w:rPr>
        <w:t xml:space="preserve">(For students entering EEE in or after </w:t>
      </w:r>
      <w:proofErr w:type="gramStart"/>
      <w:r w:rsidRPr="007D4DDB">
        <w:rPr>
          <w:rFonts w:ascii="Helvetica" w:eastAsia="Times New Roman" w:hAnsi="Helvetica" w:cs="Times New Roman"/>
          <w:color w:val="A3792C"/>
          <w:sz w:val="36"/>
          <w:szCs w:val="36"/>
        </w:rPr>
        <w:t>Fall</w:t>
      </w:r>
      <w:proofErr w:type="gramEnd"/>
      <w:r w:rsidRPr="007D4DDB">
        <w:rPr>
          <w:rFonts w:ascii="Helvetica" w:eastAsia="Times New Roman" w:hAnsi="Helvetica" w:cs="Times New Roman"/>
          <w:color w:val="A3792C"/>
          <w:sz w:val="36"/>
          <w:szCs w:val="36"/>
        </w:rPr>
        <w:t xml:space="preserve"> 2014; includes Summer 2014)</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color w:val="333333"/>
          <w:sz w:val="20"/>
          <w:szCs w:val="20"/>
        </w:rPr>
        <w:t> </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color w:val="333333"/>
          <w:sz w:val="20"/>
          <w:szCs w:val="20"/>
        </w:rPr>
        <w:t>Students are strongly encouraged to develop a coherent general education plan, and distribute their general education credits throughout their academic program. The collection of courses used to fulfill this requirement must meet all of the following conditions:</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1.</w:t>
      </w:r>
      <w:r w:rsidRPr="007D4DDB">
        <w:rPr>
          <w:rFonts w:ascii="Helvetica" w:eastAsia="Times New Roman" w:hAnsi="Helvetica" w:cs="Times New Roman"/>
          <w:color w:val="333333"/>
          <w:sz w:val="20"/>
          <w:szCs w:val="20"/>
        </w:rPr>
        <w:t> Students must select from the list of courses approved by the University Core Council to satisfy each of the six Foundational Learning Outcomes listed below. Some courses may have been approved to meet more than one of the Foundational Learning Outcomes, so fewer than six courses can be used to fulfill this condition. There is no minimum number of credit hours needed to satisfy this component of the College of Engineering General Education Program. The pertinent Foundational Learning Outcomes are defined below.</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Written Communication:</w:t>
      </w:r>
      <w:r w:rsidRPr="007D4DDB">
        <w:rPr>
          <w:rFonts w:ascii="Helvetica" w:eastAsia="Times New Roman" w:hAnsi="Helvetica" w:cs="Times New Roman"/>
          <w:color w:val="333333"/>
          <w:sz w:val="20"/>
          <w:szCs w:val="20"/>
        </w:rPr>
        <w:t> The clear expression of ideas in writing; includes grammar, organization, and structure. Varying levels and types of writing skills are required for different jobs. The ability to convey ideas concisely and coherently is important.</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Oral Communication:</w:t>
      </w:r>
      <w:r w:rsidRPr="007D4DDB">
        <w:rPr>
          <w:rFonts w:ascii="Helvetica" w:eastAsia="Times New Roman" w:hAnsi="Helvetica" w:cs="Times New Roman"/>
          <w:color w:val="333333"/>
          <w:sz w:val="20"/>
          <w:szCs w:val="20"/>
        </w:rPr>
        <w:t> The activity of conveying meaningful information verbally; communication by word of mouth typically relies on words, visual aids and non-verbal elements to support the conveyance of the meaning. Oral communication is designed to increase knowledge, foster understanding, or to promote change in the listener’s attitudes, values, beliefs, or behaviors.</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Information Literacy:</w:t>
      </w:r>
      <w:r w:rsidRPr="007D4DDB">
        <w:rPr>
          <w:rFonts w:ascii="Helvetica" w:eastAsia="Times New Roman" w:hAnsi="Helvetica" w:cs="Times New Roman"/>
          <w:color w:val="333333"/>
          <w:sz w:val="20"/>
          <w:szCs w:val="20"/>
        </w:rPr>
        <w:t> The ability to recognize the extent and nature of information needs, then to locate, evaluate, and effectively use the needed information. It involves designing, evaluating and implementing a strategy to answer questions or achieve a desired goal.</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Human Cultures: Humanities</w:t>
      </w:r>
      <w:r w:rsidRPr="007D4DDB">
        <w:rPr>
          <w:rFonts w:ascii="Helvetica" w:eastAsia="Times New Roman" w:hAnsi="Helvetica" w:cs="Times New Roman"/>
          <w:color w:val="333333"/>
          <w:sz w:val="20"/>
          <w:szCs w:val="20"/>
        </w:rPr>
        <w:t> </w:t>
      </w:r>
      <w:proofErr w:type="gramStart"/>
      <w:r w:rsidRPr="007D4DDB">
        <w:rPr>
          <w:rFonts w:ascii="Helvetica" w:eastAsia="Times New Roman" w:hAnsi="Helvetica" w:cs="Times New Roman"/>
          <w:color w:val="333333"/>
          <w:sz w:val="20"/>
          <w:szCs w:val="20"/>
        </w:rPr>
        <w:t>The</w:t>
      </w:r>
      <w:proofErr w:type="gramEnd"/>
      <w:r w:rsidRPr="007D4DDB">
        <w:rPr>
          <w:rFonts w:ascii="Helvetica" w:eastAsia="Times New Roman" w:hAnsi="Helvetica" w:cs="Times New Roman"/>
          <w:color w:val="333333"/>
          <w:sz w:val="20"/>
          <w:szCs w:val="20"/>
        </w:rPr>
        <w:t xml:space="preserve"> ability to recognize one’s own cultural traditions and to understand and appreciate other cultural traditions and languages. This includes content in classics, history, languages, the law, literature, the performing arts, philosophy (including ethics), religion, and visual arts.</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Human Cultures: Behavior/Social Science</w:t>
      </w:r>
      <w:r w:rsidRPr="007D4DDB">
        <w:rPr>
          <w:rFonts w:ascii="Helvetica" w:eastAsia="Times New Roman" w:hAnsi="Helvetica" w:cs="Times New Roman"/>
          <w:color w:val="333333"/>
          <w:sz w:val="20"/>
          <w:szCs w:val="20"/>
        </w:rPr>
        <w:t> The ability to recognize one’s own cultural traditions and to understand and appreciate other cultural traditions and languages. This includes content in anthropology, psychology, cognitive science, organization theory, sociology, economics, history, counseling, and political science.</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Science, Technology, and Society:</w:t>
      </w:r>
      <w:r w:rsidRPr="007D4DDB">
        <w:rPr>
          <w:rFonts w:ascii="Helvetica" w:eastAsia="Times New Roman" w:hAnsi="Helvetica" w:cs="Times New Roman"/>
          <w:color w:val="333333"/>
          <w:sz w:val="20"/>
          <w:szCs w:val="20"/>
        </w:rPr>
        <w:t> The ability to understand and reflect upon the complex issues raised by technological and scientific changes and its effects on society and the global world by making sense of, evaluating, and responding to present and future changes that shape individuals’ work, public, and personal lives.</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b/>
          <w:bCs/>
          <w:i/>
          <w:iCs/>
          <w:color w:val="333333"/>
          <w:sz w:val="20"/>
          <w:szCs w:val="20"/>
        </w:rPr>
        <w:t>Students must earn a C- or better in courses used to satisfy this component of the EEE General Education Program.</w:t>
      </w:r>
      <w:r w:rsidRPr="007D4DDB">
        <w:rPr>
          <w:rFonts w:ascii="Helvetica" w:eastAsia="Times New Roman" w:hAnsi="Helvetica" w:cs="Times New Roman"/>
          <w:i/>
          <w:iCs/>
          <w:color w:val="333333"/>
          <w:sz w:val="20"/>
          <w:szCs w:val="20"/>
        </w:rPr>
        <w:t> The list of approved Foundational Learning Outcomes courses is available at</w:t>
      </w:r>
      <w:proofErr w:type="gramStart"/>
      <w:r w:rsidRPr="007D4DDB">
        <w:rPr>
          <w:rFonts w:ascii="Helvetica" w:eastAsia="Times New Roman" w:hAnsi="Helvetica" w:cs="Times New Roman"/>
          <w:i/>
          <w:iCs/>
          <w:color w:val="333333"/>
          <w:sz w:val="20"/>
          <w:szCs w:val="20"/>
        </w:rPr>
        <w:t>  </w:t>
      </w:r>
      <w:proofErr w:type="gramEnd"/>
      <w:r w:rsidRPr="007D4DDB">
        <w:rPr>
          <w:rFonts w:ascii="Helvetica" w:eastAsia="Times New Roman" w:hAnsi="Helvetica" w:cs="Times New Roman"/>
          <w:i/>
          <w:iCs/>
          <w:color w:val="333333"/>
          <w:sz w:val="20"/>
          <w:szCs w:val="20"/>
        </w:rPr>
        <w:fldChar w:fldCharType="begin"/>
      </w:r>
      <w:r w:rsidRPr="007D4DDB">
        <w:rPr>
          <w:rFonts w:ascii="Helvetica" w:eastAsia="Times New Roman" w:hAnsi="Helvetica" w:cs="Times New Roman"/>
          <w:i/>
          <w:iCs/>
          <w:color w:val="333333"/>
          <w:sz w:val="20"/>
          <w:szCs w:val="20"/>
        </w:rPr>
        <w:instrText xml:space="preserve"> HYPERLINK "http://www.purdue.edu/provost/initiatives/curriculum/course.html" </w:instrText>
      </w:r>
      <w:r w:rsidRPr="007D4DDB">
        <w:rPr>
          <w:rFonts w:ascii="Helvetica" w:eastAsia="Times New Roman" w:hAnsi="Helvetica" w:cs="Times New Roman"/>
          <w:i/>
          <w:iCs/>
          <w:color w:val="333333"/>
          <w:sz w:val="20"/>
          <w:szCs w:val="20"/>
        </w:rPr>
        <w:fldChar w:fldCharType="separate"/>
      </w:r>
      <w:r w:rsidRPr="007D4DDB">
        <w:rPr>
          <w:rFonts w:ascii="Helvetica" w:eastAsia="Times New Roman" w:hAnsi="Helvetica" w:cs="Times New Roman"/>
          <w:i/>
          <w:iCs/>
          <w:color w:val="A3792C"/>
          <w:sz w:val="20"/>
          <w:szCs w:val="20"/>
          <w:u w:val="single"/>
        </w:rPr>
        <w:t>http://www.purdue.edu/provost/initiatives/curriculum/course.html</w:t>
      </w:r>
      <w:r w:rsidRPr="007D4DDB">
        <w:rPr>
          <w:rFonts w:ascii="Helvetica" w:eastAsia="Times New Roman" w:hAnsi="Helvetica" w:cs="Times New Roman"/>
          <w:i/>
          <w:iCs/>
          <w:color w:val="333333"/>
          <w:sz w:val="20"/>
          <w:szCs w:val="20"/>
        </w:rPr>
        <w:fldChar w:fldCharType="end"/>
      </w:r>
      <w:r w:rsidRPr="007D4DDB">
        <w:rPr>
          <w:rFonts w:ascii="Helvetica" w:eastAsia="Times New Roman" w:hAnsi="Helvetica" w:cs="Times New Roman"/>
          <w:i/>
          <w:iCs/>
          <w:color w:val="333333"/>
          <w:sz w:val="20"/>
          <w:szCs w:val="20"/>
        </w:rPr>
        <w:t>.</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2.</w:t>
      </w:r>
      <w:r w:rsidRPr="007D4DDB">
        <w:rPr>
          <w:rFonts w:ascii="Helvetica" w:eastAsia="Times New Roman" w:hAnsi="Helvetica" w:cs="Times New Roman"/>
          <w:color w:val="333333"/>
          <w:sz w:val="20"/>
          <w:szCs w:val="20"/>
        </w:rPr>
        <w:t>  Students must take additional approved courses to reach the minimum requirement of 24 credit hours, selected as follows:</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proofErr w:type="gramStart"/>
      <w:r w:rsidRPr="007D4DDB">
        <w:rPr>
          <w:rFonts w:ascii="Helvetica" w:eastAsia="Times New Roman" w:hAnsi="Helvetica" w:cs="Times New Roman"/>
          <w:color w:val="333333"/>
          <w:sz w:val="20"/>
          <w:szCs w:val="20"/>
        </w:rPr>
        <w:t>o</w:t>
      </w:r>
      <w:proofErr w:type="gramEnd"/>
      <w:r w:rsidRPr="007D4DDB">
        <w:rPr>
          <w:rFonts w:ascii="Helvetica" w:eastAsia="Times New Roman" w:hAnsi="Helvetica" w:cs="Times New Roman"/>
          <w:color w:val="333333"/>
          <w:sz w:val="20"/>
          <w:szCs w:val="20"/>
        </w:rPr>
        <w:t>   All courses approved by the University Core Council as meeting a Foundational Learning Outcome (see above list).</w:t>
      </w:r>
    </w:p>
    <w:p w:rsidR="007D4DDB" w:rsidRPr="007D4DDB" w:rsidRDefault="007D4DDB" w:rsidP="007D4DDB">
      <w:pPr>
        <w:shd w:val="clear" w:color="auto" w:fill="FFFFFF"/>
        <w:spacing w:after="150" w:line="240" w:lineRule="auto"/>
        <w:ind w:left="600"/>
        <w:rPr>
          <w:rFonts w:ascii="Helvetica" w:eastAsia="Times New Roman" w:hAnsi="Helvetica" w:cs="Times New Roman"/>
          <w:color w:val="333333"/>
          <w:sz w:val="20"/>
          <w:szCs w:val="20"/>
        </w:rPr>
      </w:pPr>
      <w:r w:rsidRPr="007D4DDB">
        <w:rPr>
          <w:rFonts w:ascii="Helvetica" w:eastAsia="Times New Roman" w:hAnsi="Helvetica" w:cs="Times New Roman"/>
          <w:color w:val="333333"/>
          <w:sz w:val="20"/>
          <w:szCs w:val="20"/>
        </w:rPr>
        <w:lastRenderedPageBreak/>
        <w:t xml:space="preserve">o   Courses must be drawn from those offered by the departments of Agricultural Economics, Speech, Language, and Hearing Sciences, Child Development and Family Studies, Communication, Economics, English, Entrepreneurship, Foreign Languages and Literatures, History, Interdisciplinary Studies, Management, Philosophy, Political Sciences, Psychological Sciences, Sociology and Anthropology, Visual and Performing Arts. Any course offered by these departments is allowable, provided that it is open to students in the offering department and is not focused primarily on professional training, natural science or mathematics.  (Note:  Students entering Purdue in </w:t>
      </w:r>
      <w:proofErr w:type="gramStart"/>
      <w:r w:rsidRPr="007D4DDB">
        <w:rPr>
          <w:rFonts w:ascii="Helvetica" w:eastAsia="Times New Roman" w:hAnsi="Helvetica" w:cs="Times New Roman"/>
          <w:color w:val="333333"/>
          <w:sz w:val="20"/>
          <w:szCs w:val="20"/>
        </w:rPr>
        <w:t>Fall</w:t>
      </w:r>
      <w:proofErr w:type="gramEnd"/>
      <w:r w:rsidRPr="007D4DDB">
        <w:rPr>
          <w:rFonts w:ascii="Helvetica" w:eastAsia="Times New Roman" w:hAnsi="Helvetica" w:cs="Times New Roman"/>
          <w:color w:val="333333"/>
          <w:sz w:val="20"/>
          <w:szCs w:val="20"/>
        </w:rPr>
        <w:t xml:space="preserve"> 2015 and later may </w:t>
      </w:r>
      <w:r w:rsidRPr="007D4DDB">
        <w:rPr>
          <w:rFonts w:ascii="Helvetica" w:eastAsia="Times New Roman" w:hAnsi="Helvetica" w:cs="Times New Roman"/>
          <w:b/>
          <w:bCs/>
          <w:color w:val="333333"/>
          <w:sz w:val="20"/>
          <w:szCs w:val="20"/>
        </w:rPr>
        <w:t>not</w:t>
      </w:r>
      <w:r w:rsidRPr="007D4DDB">
        <w:rPr>
          <w:rFonts w:ascii="Helvetica" w:eastAsia="Times New Roman" w:hAnsi="Helvetica" w:cs="Times New Roman"/>
          <w:color w:val="333333"/>
          <w:sz w:val="20"/>
          <w:szCs w:val="20"/>
        </w:rPr>
        <w:t> use courses offered by the departments of Entrepreneurship or Management as General Education Electives, per EFD No. 35-15.)</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3.</w:t>
      </w:r>
      <w:r w:rsidRPr="007D4DDB">
        <w:rPr>
          <w:rFonts w:ascii="Helvetica" w:eastAsia="Times New Roman" w:hAnsi="Helvetica" w:cs="Times New Roman"/>
          <w:color w:val="333333"/>
          <w:sz w:val="20"/>
          <w:szCs w:val="20"/>
        </w:rPr>
        <w:t> At least 6 of the 24 required credit hours must come from courses at the 30000-level or above, or from courses with a required prerequisite in the same department.</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4.</w:t>
      </w:r>
      <w:r w:rsidRPr="007D4DDB">
        <w:rPr>
          <w:rFonts w:ascii="Helvetica" w:eastAsia="Times New Roman" w:hAnsi="Helvetica" w:cs="Times New Roman"/>
          <w:color w:val="333333"/>
          <w:sz w:val="20"/>
          <w:szCs w:val="20"/>
        </w:rPr>
        <w:t>  At least 3 credit hours in a course at the intersection of Society and the Environment. These are generally in environmental law, environmental policy, environmental history, environmental humanities, or environmental education. The current list is:</w:t>
      </w:r>
    </w:p>
    <w:p w:rsidR="007D4DDB" w:rsidRPr="007D4DDB" w:rsidRDefault="007D4DDB" w:rsidP="007D4DDB">
      <w:pPr>
        <w:shd w:val="clear" w:color="auto" w:fill="FFFFFF"/>
        <w:spacing w:after="150" w:line="240" w:lineRule="auto"/>
        <w:ind w:left="840"/>
        <w:rPr>
          <w:rFonts w:ascii="Helvetica" w:eastAsia="Times New Roman" w:hAnsi="Helvetica" w:cs="Times New Roman"/>
          <w:color w:val="333333"/>
          <w:sz w:val="20"/>
          <w:szCs w:val="20"/>
        </w:rPr>
      </w:pPr>
      <w:hyperlink r:id="rId4" w:history="1">
        <w:r w:rsidRPr="007D4DDB">
          <w:rPr>
            <w:rFonts w:ascii="Helvetica" w:eastAsia="Times New Roman" w:hAnsi="Helvetica" w:cs="Times New Roman"/>
            <w:color w:val="A3792C"/>
            <w:sz w:val="20"/>
            <w:szCs w:val="20"/>
            <w:u w:val="single"/>
          </w:rPr>
          <w:t>AD 39700</w:t>
        </w:r>
      </w:hyperlink>
      <w:r w:rsidRPr="007D4DDB">
        <w:rPr>
          <w:rFonts w:ascii="Helvetica" w:eastAsia="Times New Roman" w:hAnsi="Helvetica" w:cs="Times New Roman"/>
          <w:color w:val="333333"/>
          <w:sz w:val="20"/>
          <w:szCs w:val="20"/>
        </w:rPr>
        <w:t>: Sustainability In The Built Environment</w:t>
      </w:r>
      <w:r w:rsidRPr="007D4DDB">
        <w:rPr>
          <w:rFonts w:ascii="Helvetica" w:eastAsia="Times New Roman" w:hAnsi="Helvetica" w:cs="Times New Roman"/>
          <w:color w:val="333333"/>
          <w:sz w:val="20"/>
          <w:szCs w:val="20"/>
        </w:rPr>
        <w:br/>
      </w:r>
      <w:hyperlink r:id="rId5" w:history="1">
        <w:r w:rsidRPr="007D4DDB">
          <w:rPr>
            <w:rFonts w:ascii="Helvetica" w:eastAsia="Times New Roman" w:hAnsi="Helvetica" w:cs="Times New Roman"/>
            <w:color w:val="A3792C"/>
            <w:sz w:val="20"/>
            <w:szCs w:val="20"/>
            <w:u w:val="single"/>
          </w:rPr>
          <w:t>AGEC 40600</w:t>
        </w:r>
      </w:hyperlink>
      <w:r w:rsidRPr="007D4DDB">
        <w:rPr>
          <w:rFonts w:ascii="Helvetica" w:eastAsia="Times New Roman" w:hAnsi="Helvetica" w:cs="Times New Roman"/>
          <w:color w:val="333333"/>
          <w:sz w:val="20"/>
          <w:szCs w:val="20"/>
        </w:rPr>
        <w:t>: Natural Resources and Environmental Economics</w:t>
      </w:r>
      <w:r w:rsidRPr="007D4DDB">
        <w:rPr>
          <w:rFonts w:ascii="Helvetica" w:eastAsia="Times New Roman" w:hAnsi="Helvetica" w:cs="Times New Roman"/>
          <w:color w:val="333333"/>
          <w:sz w:val="20"/>
          <w:szCs w:val="20"/>
        </w:rPr>
        <w:br/>
      </w:r>
      <w:hyperlink r:id="rId6" w:history="1">
        <w:r w:rsidRPr="007D4DDB">
          <w:rPr>
            <w:rFonts w:ascii="Helvetica" w:eastAsia="Times New Roman" w:hAnsi="Helvetica" w:cs="Times New Roman"/>
            <w:color w:val="A3792C"/>
            <w:sz w:val="20"/>
            <w:szCs w:val="20"/>
            <w:u w:val="single"/>
          </w:rPr>
          <w:t>AGEC 41500</w:t>
        </w:r>
      </w:hyperlink>
      <w:r w:rsidRPr="007D4DDB">
        <w:rPr>
          <w:rFonts w:ascii="Helvetica" w:eastAsia="Times New Roman" w:hAnsi="Helvetica" w:cs="Times New Roman"/>
          <w:color w:val="333333"/>
          <w:sz w:val="20"/>
          <w:szCs w:val="20"/>
        </w:rPr>
        <w:t>: Community and Resource Development</w:t>
      </w:r>
      <w:r w:rsidRPr="007D4DDB">
        <w:rPr>
          <w:rFonts w:ascii="Helvetica" w:eastAsia="Times New Roman" w:hAnsi="Helvetica" w:cs="Times New Roman"/>
          <w:color w:val="333333"/>
          <w:sz w:val="20"/>
          <w:szCs w:val="20"/>
        </w:rPr>
        <w:br/>
      </w:r>
      <w:hyperlink r:id="rId7" w:history="1">
        <w:r w:rsidRPr="007D4DDB">
          <w:rPr>
            <w:rFonts w:ascii="Helvetica" w:eastAsia="Times New Roman" w:hAnsi="Helvetica" w:cs="Times New Roman"/>
            <w:color w:val="A3792C"/>
            <w:sz w:val="20"/>
            <w:szCs w:val="20"/>
            <w:u w:val="single"/>
          </w:rPr>
          <w:t>AGEC 52500</w:t>
        </w:r>
      </w:hyperlink>
      <w:r w:rsidRPr="007D4DDB">
        <w:rPr>
          <w:rFonts w:ascii="Helvetica" w:eastAsia="Times New Roman" w:hAnsi="Helvetica" w:cs="Times New Roman"/>
          <w:color w:val="333333"/>
          <w:sz w:val="20"/>
          <w:szCs w:val="20"/>
        </w:rPr>
        <w:t>: Environmental Policy Analysis</w:t>
      </w:r>
      <w:r w:rsidRPr="007D4DDB">
        <w:rPr>
          <w:rFonts w:ascii="Helvetica" w:eastAsia="Times New Roman" w:hAnsi="Helvetica" w:cs="Times New Roman"/>
          <w:color w:val="333333"/>
          <w:sz w:val="20"/>
          <w:szCs w:val="20"/>
        </w:rPr>
        <w:br/>
      </w:r>
      <w:hyperlink r:id="rId8" w:history="1">
        <w:r w:rsidRPr="007D4DDB">
          <w:rPr>
            <w:rFonts w:ascii="Helvetica" w:eastAsia="Times New Roman" w:hAnsi="Helvetica" w:cs="Times New Roman"/>
            <w:color w:val="A3792C"/>
            <w:sz w:val="20"/>
            <w:szCs w:val="20"/>
            <w:u w:val="single"/>
          </w:rPr>
          <w:t>ANTH 32700</w:t>
        </w:r>
      </w:hyperlink>
      <w:r w:rsidRPr="007D4DDB">
        <w:rPr>
          <w:rFonts w:ascii="Helvetica" w:eastAsia="Times New Roman" w:hAnsi="Helvetica" w:cs="Times New Roman"/>
          <w:color w:val="333333"/>
          <w:sz w:val="20"/>
          <w:szCs w:val="20"/>
        </w:rPr>
        <w:t>: Environment And Culture</w:t>
      </w:r>
      <w:r w:rsidRPr="007D4DDB">
        <w:rPr>
          <w:rFonts w:ascii="Helvetica" w:eastAsia="Times New Roman" w:hAnsi="Helvetica" w:cs="Times New Roman"/>
          <w:color w:val="333333"/>
          <w:sz w:val="20"/>
          <w:szCs w:val="20"/>
        </w:rPr>
        <w:br/>
      </w:r>
      <w:hyperlink r:id="rId9" w:history="1">
        <w:r w:rsidRPr="007D4DDB">
          <w:rPr>
            <w:rFonts w:ascii="Helvetica" w:eastAsia="Times New Roman" w:hAnsi="Helvetica" w:cs="Times New Roman"/>
            <w:color w:val="A3792C"/>
            <w:sz w:val="20"/>
            <w:szCs w:val="20"/>
            <w:u w:val="single"/>
          </w:rPr>
          <w:t>ENGL 23400</w:t>
        </w:r>
      </w:hyperlink>
      <w:r w:rsidRPr="007D4DDB">
        <w:rPr>
          <w:rFonts w:ascii="Helvetica" w:eastAsia="Times New Roman" w:hAnsi="Helvetica" w:cs="Times New Roman"/>
          <w:color w:val="333333"/>
          <w:sz w:val="20"/>
          <w:szCs w:val="20"/>
        </w:rPr>
        <w:t>: Ecological Literature</w:t>
      </w:r>
      <w:r w:rsidRPr="007D4DDB">
        <w:rPr>
          <w:rFonts w:ascii="Helvetica" w:eastAsia="Times New Roman" w:hAnsi="Helvetica" w:cs="Times New Roman"/>
          <w:color w:val="333333"/>
          <w:sz w:val="20"/>
          <w:szCs w:val="20"/>
        </w:rPr>
        <w:br/>
      </w:r>
      <w:hyperlink r:id="rId10" w:history="1">
        <w:r w:rsidRPr="007D4DDB">
          <w:rPr>
            <w:rFonts w:ascii="Helvetica" w:eastAsia="Times New Roman" w:hAnsi="Helvetica" w:cs="Times New Roman"/>
            <w:color w:val="A3792C"/>
            <w:sz w:val="20"/>
            <w:szCs w:val="20"/>
            <w:u w:val="single"/>
          </w:rPr>
          <w:t>PHIL 29000</w:t>
        </w:r>
      </w:hyperlink>
      <w:r w:rsidRPr="007D4DDB">
        <w:rPr>
          <w:rFonts w:ascii="Helvetica" w:eastAsia="Times New Roman" w:hAnsi="Helvetica" w:cs="Times New Roman"/>
          <w:color w:val="333333"/>
          <w:sz w:val="20"/>
          <w:szCs w:val="20"/>
        </w:rPr>
        <w:t>: Environmental Ethics</w:t>
      </w:r>
      <w:r w:rsidRPr="007D4DDB">
        <w:rPr>
          <w:rFonts w:ascii="Helvetica" w:eastAsia="Times New Roman" w:hAnsi="Helvetica" w:cs="Times New Roman"/>
          <w:color w:val="333333"/>
          <w:sz w:val="20"/>
          <w:szCs w:val="20"/>
        </w:rPr>
        <w:br/>
      </w:r>
      <w:hyperlink r:id="rId11" w:history="1">
        <w:r w:rsidRPr="007D4DDB">
          <w:rPr>
            <w:rFonts w:ascii="Helvetica" w:eastAsia="Times New Roman" w:hAnsi="Helvetica" w:cs="Times New Roman"/>
            <w:color w:val="A3792C"/>
            <w:sz w:val="20"/>
            <w:szCs w:val="20"/>
            <w:u w:val="single"/>
          </w:rPr>
          <w:t>POL 22300</w:t>
        </w:r>
      </w:hyperlink>
      <w:r w:rsidRPr="007D4DDB">
        <w:rPr>
          <w:rFonts w:ascii="Helvetica" w:eastAsia="Times New Roman" w:hAnsi="Helvetica" w:cs="Times New Roman"/>
          <w:color w:val="333333"/>
          <w:sz w:val="20"/>
          <w:szCs w:val="20"/>
        </w:rPr>
        <w:t>: Introduction to Environmental Policy</w:t>
      </w:r>
      <w:r w:rsidRPr="007D4DDB">
        <w:rPr>
          <w:rFonts w:ascii="Helvetica" w:eastAsia="Times New Roman" w:hAnsi="Helvetica" w:cs="Times New Roman"/>
          <w:color w:val="333333"/>
          <w:sz w:val="20"/>
          <w:szCs w:val="20"/>
        </w:rPr>
        <w:br/>
      </w:r>
      <w:hyperlink r:id="rId12" w:history="1">
        <w:r w:rsidRPr="007D4DDB">
          <w:rPr>
            <w:rFonts w:ascii="Helvetica" w:eastAsia="Times New Roman" w:hAnsi="Helvetica" w:cs="Times New Roman"/>
            <w:color w:val="A3792C"/>
            <w:sz w:val="20"/>
            <w:szCs w:val="20"/>
            <w:u w:val="single"/>
          </w:rPr>
          <w:t>POL 32700</w:t>
        </w:r>
      </w:hyperlink>
      <w:r w:rsidRPr="007D4DDB">
        <w:rPr>
          <w:rFonts w:ascii="Helvetica" w:eastAsia="Times New Roman" w:hAnsi="Helvetica" w:cs="Times New Roman"/>
          <w:color w:val="333333"/>
          <w:sz w:val="20"/>
          <w:szCs w:val="20"/>
        </w:rPr>
        <w:t>: Global Green Politics</w:t>
      </w:r>
      <w:r w:rsidRPr="007D4DDB">
        <w:rPr>
          <w:rFonts w:ascii="Helvetica" w:eastAsia="Times New Roman" w:hAnsi="Helvetica" w:cs="Times New Roman"/>
          <w:color w:val="333333"/>
          <w:sz w:val="20"/>
          <w:szCs w:val="20"/>
        </w:rPr>
        <w:br/>
      </w:r>
      <w:hyperlink r:id="rId13" w:history="1">
        <w:r w:rsidRPr="007D4DDB">
          <w:rPr>
            <w:rFonts w:ascii="Helvetica" w:eastAsia="Times New Roman" w:hAnsi="Helvetica" w:cs="Times New Roman"/>
            <w:color w:val="A3792C"/>
            <w:sz w:val="20"/>
            <w:szCs w:val="20"/>
            <w:u w:val="single"/>
          </w:rPr>
          <w:t>POL 42300</w:t>
        </w:r>
      </w:hyperlink>
      <w:r w:rsidRPr="007D4DDB">
        <w:rPr>
          <w:rFonts w:ascii="Helvetica" w:eastAsia="Times New Roman" w:hAnsi="Helvetica" w:cs="Times New Roman"/>
          <w:color w:val="333333"/>
          <w:sz w:val="20"/>
          <w:szCs w:val="20"/>
        </w:rPr>
        <w:t>: International Environmental Policy</w:t>
      </w:r>
      <w:r w:rsidRPr="007D4DDB">
        <w:rPr>
          <w:rFonts w:ascii="Helvetica" w:eastAsia="Times New Roman" w:hAnsi="Helvetica" w:cs="Times New Roman"/>
          <w:color w:val="333333"/>
          <w:sz w:val="20"/>
          <w:szCs w:val="20"/>
        </w:rPr>
        <w:br/>
      </w:r>
      <w:hyperlink r:id="rId14" w:history="1">
        <w:r w:rsidRPr="007D4DDB">
          <w:rPr>
            <w:rFonts w:ascii="Helvetica" w:eastAsia="Times New Roman" w:hAnsi="Helvetica" w:cs="Times New Roman"/>
            <w:color w:val="A3792C"/>
            <w:sz w:val="20"/>
            <w:szCs w:val="20"/>
            <w:u w:val="single"/>
          </w:rPr>
          <w:t>POL 42500</w:t>
        </w:r>
      </w:hyperlink>
      <w:r w:rsidRPr="007D4DDB">
        <w:rPr>
          <w:rFonts w:ascii="Helvetica" w:eastAsia="Times New Roman" w:hAnsi="Helvetica" w:cs="Times New Roman"/>
          <w:color w:val="333333"/>
          <w:sz w:val="20"/>
          <w:szCs w:val="20"/>
        </w:rPr>
        <w:t>: Environmental Law and Politics</w:t>
      </w:r>
      <w:r w:rsidRPr="007D4DDB">
        <w:rPr>
          <w:rFonts w:ascii="Helvetica" w:eastAsia="Times New Roman" w:hAnsi="Helvetica" w:cs="Times New Roman"/>
          <w:color w:val="333333"/>
          <w:sz w:val="20"/>
          <w:szCs w:val="20"/>
        </w:rPr>
        <w:br/>
      </w:r>
      <w:hyperlink r:id="rId15" w:history="1">
        <w:r w:rsidRPr="007D4DDB">
          <w:rPr>
            <w:rFonts w:ascii="Helvetica" w:eastAsia="Times New Roman" w:hAnsi="Helvetica" w:cs="Times New Roman"/>
            <w:color w:val="A3792C"/>
            <w:sz w:val="20"/>
            <w:szCs w:val="20"/>
            <w:u w:val="single"/>
          </w:rPr>
          <w:t>POL 42800</w:t>
        </w:r>
      </w:hyperlink>
      <w:r w:rsidRPr="007D4DDB">
        <w:rPr>
          <w:rFonts w:ascii="Helvetica" w:eastAsia="Times New Roman" w:hAnsi="Helvetica" w:cs="Times New Roman"/>
          <w:color w:val="333333"/>
          <w:sz w:val="20"/>
          <w:szCs w:val="20"/>
        </w:rPr>
        <w:t>: Politics of Regulation</w:t>
      </w:r>
      <w:r w:rsidRPr="007D4DDB">
        <w:rPr>
          <w:rFonts w:ascii="Helvetica" w:eastAsia="Times New Roman" w:hAnsi="Helvetica" w:cs="Times New Roman"/>
          <w:color w:val="333333"/>
          <w:sz w:val="20"/>
          <w:szCs w:val="20"/>
        </w:rPr>
        <w:br/>
        <w:t xml:space="preserve">POL 42900 (variable title): </w:t>
      </w:r>
      <w:proofErr w:type="spellStart"/>
      <w:r w:rsidRPr="007D4DDB">
        <w:rPr>
          <w:rFonts w:ascii="Helvetica" w:eastAsia="Times New Roman" w:hAnsi="Helvetica" w:cs="Times New Roman"/>
          <w:color w:val="333333"/>
          <w:sz w:val="20"/>
          <w:szCs w:val="20"/>
        </w:rPr>
        <w:t>Hlth</w:t>
      </w:r>
      <w:proofErr w:type="spellEnd"/>
      <w:r w:rsidRPr="007D4DDB">
        <w:rPr>
          <w:rFonts w:ascii="Helvetica" w:eastAsia="Times New Roman" w:hAnsi="Helvetica" w:cs="Times New Roman"/>
          <w:color w:val="333333"/>
          <w:sz w:val="20"/>
          <w:szCs w:val="20"/>
        </w:rPr>
        <w:t xml:space="preserve">, Sustain &amp; Built </w:t>
      </w:r>
      <w:proofErr w:type="spellStart"/>
      <w:r w:rsidRPr="007D4DDB">
        <w:rPr>
          <w:rFonts w:ascii="Helvetica" w:eastAsia="Times New Roman" w:hAnsi="Helvetica" w:cs="Times New Roman"/>
          <w:color w:val="333333"/>
          <w:sz w:val="20"/>
          <w:szCs w:val="20"/>
        </w:rPr>
        <w:t>Envirnmnt</w:t>
      </w:r>
      <w:proofErr w:type="spellEnd"/>
      <w:r w:rsidRPr="007D4DDB">
        <w:rPr>
          <w:rFonts w:ascii="Helvetica" w:eastAsia="Times New Roman" w:hAnsi="Helvetica" w:cs="Times New Roman"/>
          <w:color w:val="333333"/>
          <w:sz w:val="20"/>
          <w:szCs w:val="20"/>
        </w:rPr>
        <w:br/>
      </w:r>
      <w:hyperlink r:id="rId16" w:history="1">
        <w:r w:rsidRPr="007D4DDB">
          <w:rPr>
            <w:rFonts w:ascii="Helvetica" w:eastAsia="Times New Roman" w:hAnsi="Helvetica" w:cs="Times New Roman"/>
            <w:color w:val="A3792C"/>
            <w:sz w:val="20"/>
            <w:szCs w:val="20"/>
            <w:u w:val="single"/>
          </w:rPr>
          <w:t>POL 52300</w:t>
        </w:r>
      </w:hyperlink>
      <w:r w:rsidRPr="007D4DDB">
        <w:rPr>
          <w:rFonts w:ascii="Helvetica" w:eastAsia="Times New Roman" w:hAnsi="Helvetica" w:cs="Times New Roman"/>
          <w:color w:val="333333"/>
          <w:sz w:val="20"/>
          <w:szCs w:val="20"/>
        </w:rPr>
        <w:t>: Environmental Politics and Public Policy</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5. </w:t>
      </w:r>
      <w:r w:rsidRPr="007D4DDB">
        <w:rPr>
          <w:rFonts w:ascii="Helvetica" w:eastAsia="Times New Roman" w:hAnsi="Helvetica" w:cs="Times New Roman"/>
          <w:color w:val="333333"/>
          <w:sz w:val="20"/>
          <w:szCs w:val="20"/>
        </w:rPr>
        <w:t xml:space="preserve"> At least 12 of the 24 required credit hours must be taken from the College of Liberal Arts, the </w:t>
      </w:r>
      <w:proofErr w:type="spellStart"/>
      <w:r w:rsidRPr="007D4DDB">
        <w:rPr>
          <w:rFonts w:ascii="Helvetica" w:eastAsia="Times New Roman" w:hAnsi="Helvetica" w:cs="Times New Roman"/>
          <w:color w:val="333333"/>
          <w:sz w:val="20"/>
          <w:szCs w:val="20"/>
        </w:rPr>
        <w:t>Krannert</w:t>
      </w:r>
      <w:proofErr w:type="spellEnd"/>
      <w:r w:rsidRPr="007D4DDB">
        <w:rPr>
          <w:rFonts w:ascii="Helvetica" w:eastAsia="Times New Roman" w:hAnsi="Helvetica" w:cs="Times New Roman"/>
          <w:color w:val="333333"/>
          <w:sz w:val="20"/>
          <w:szCs w:val="20"/>
        </w:rPr>
        <w:t xml:space="preserve"> School of Management, and/or the Honors College provided such courses are not focused primarily on engineering, technology, the natural sciences, or mathematics.</w:t>
      </w:r>
    </w:p>
    <w:p w:rsidR="007D4DDB" w:rsidRPr="007D4DDB" w:rsidRDefault="007D4DDB" w:rsidP="007D4DDB">
      <w:pPr>
        <w:shd w:val="clear" w:color="auto" w:fill="FFFFFF"/>
        <w:spacing w:after="150" w:line="240" w:lineRule="auto"/>
        <w:rPr>
          <w:rFonts w:ascii="Helvetica" w:eastAsia="Times New Roman" w:hAnsi="Helvetica" w:cs="Times New Roman"/>
          <w:color w:val="333333"/>
          <w:sz w:val="20"/>
          <w:szCs w:val="20"/>
        </w:rPr>
      </w:pPr>
      <w:r w:rsidRPr="007D4DDB">
        <w:rPr>
          <w:rFonts w:ascii="Helvetica" w:eastAsia="Times New Roman" w:hAnsi="Helvetica" w:cs="Times New Roman"/>
          <w:b/>
          <w:bCs/>
          <w:color w:val="333333"/>
          <w:sz w:val="20"/>
          <w:szCs w:val="20"/>
        </w:rPr>
        <w:t>6.</w:t>
      </w:r>
      <w:r w:rsidRPr="007D4DDB">
        <w:rPr>
          <w:rFonts w:ascii="Helvetica" w:eastAsia="Times New Roman" w:hAnsi="Helvetica" w:cs="Times New Roman"/>
          <w:color w:val="333333"/>
          <w:sz w:val="20"/>
          <w:szCs w:val="20"/>
        </w:rPr>
        <w:t>  In order to ensure sufficient exposure to topics dealing with global, societal and contemporary issues, at least 9 credit hours must be drawn from courses offered by the departments of Agricultural Economics, Economics, Communication, Foreign Languages and Literatures, History, Interdisciplinary Studies, Philosophy, Political Sciences, Psychological Sciences, or Sociology and Anthropology.</w:t>
      </w:r>
    </w:p>
    <w:p w:rsidR="00317AE8" w:rsidRDefault="00317AE8">
      <w:bookmarkStart w:id="0" w:name="_GoBack"/>
      <w:bookmarkEnd w:id="0"/>
    </w:p>
    <w:sectPr w:rsidR="0031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DB"/>
    <w:rsid w:val="00317AE8"/>
    <w:rsid w:val="007D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A0235-8A92-4936-AD6F-DCFAF77F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mypurdue.purdue.edu/prod/bwckctlg.p_disp_course_detail?cat_term_in=201510&amp;subj_code_in=ANTH&amp;crse_numb_in=32700" TargetMode="External"/><Relationship Id="rId13" Type="http://schemas.openxmlformats.org/officeDocument/2006/relationships/hyperlink" Target="https://selfservice.mypurdue.purdue.edu/prod/bwckctlg.p_disp_course_detail?cat_term_in=201510&amp;subj_code_in=POL&amp;crse_numb_in=423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lfservice.mypurdue.purdue.edu/prod/bwckctlg.p_disp_course_detail?cat_term_in=201510&amp;subj_code_in=AGEC&amp;crse_numb_in=52500" TargetMode="External"/><Relationship Id="rId12" Type="http://schemas.openxmlformats.org/officeDocument/2006/relationships/hyperlink" Target="https://selfservice.mypurdue.purdue.edu/prod/bwckctlg.p_disp_course_detail?cat_term_in=201510&amp;subj_code_in=POL&amp;crse_numb_in=327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lfservice.mypurdue.purdue.edu/prod/bwckctlg.p_disp_course_detail?cat_term_in=201510&amp;subj_code_in=POL&amp;crse_numb_in=52300" TargetMode="External"/><Relationship Id="rId1" Type="http://schemas.openxmlformats.org/officeDocument/2006/relationships/styles" Target="styles.xml"/><Relationship Id="rId6" Type="http://schemas.openxmlformats.org/officeDocument/2006/relationships/hyperlink" Target="https://selfservice.mypurdue.purdue.edu/prod/bwckctlg.p_disp_course_detail?cat_term_in=201420&amp;subj_code_in=AGEC&amp;crse_numb_in=41500" TargetMode="External"/><Relationship Id="rId11" Type="http://schemas.openxmlformats.org/officeDocument/2006/relationships/hyperlink" Target="https://selfservice.mypurdue.purdue.edu/prod/bwckctlg.p_disp_course_detail?cat_term_in=201510&amp;subj_code_in=POL&amp;crse_numb_in=22300" TargetMode="External"/><Relationship Id="rId5" Type="http://schemas.openxmlformats.org/officeDocument/2006/relationships/hyperlink" Target="https://selfservice.mypurdue.purdue.edu/prod/bwckctlg.p_disp_course_detail?cat_term_in=201420&amp;subj_code_in=AGEC&amp;crse_numb_in=40600" TargetMode="External"/><Relationship Id="rId15" Type="http://schemas.openxmlformats.org/officeDocument/2006/relationships/hyperlink" Target="https://selfservice.mypurdue.purdue.edu/prod/bwckctlg.p_disp_course_detail?cat_term_in=201510&amp;subj_code_in=POL&amp;crse_numb_in=42800" TargetMode="External"/><Relationship Id="rId10" Type="http://schemas.openxmlformats.org/officeDocument/2006/relationships/hyperlink" Target="https://selfservice.mypurdue.purdue.edu/prod/bwckctlg.p_disp_course_detail?cat_term_in=201610&amp;subj_code_in=PHIL&amp;crse_numb_in=29000" TargetMode="External"/><Relationship Id="rId4" Type="http://schemas.openxmlformats.org/officeDocument/2006/relationships/hyperlink" Target="https://selfservice.mypurdue.purdue.edu/prod/bwckctlg.p_disp_course_detail?cat_term_in=201510&amp;subj_code_in=AD&amp;crse_numb_in=39700" TargetMode="External"/><Relationship Id="rId9" Type="http://schemas.openxmlformats.org/officeDocument/2006/relationships/hyperlink" Target="https://selfservice.mypurdue.purdue.edu/prod/bwckctlg.p_disp_course_detail?cat_term_in=201610&amp;subj_code_in=ENGL&amp;crse_numb_in=23400" TargetMode="External"/><Relationship Id="rId14" Type="http://schemas.openxmlformats.org/officeDocument/2006/relationships/hyperlink" Target="https://selfservice.mypurdue.purdue.edu/prod/bwckctlg.p_disp_course_detail?cat_term_in=201510&amp;subj_code_in=POL&amp;crse_numb_in=4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Nicole K</dc:creator>
  <cp:keywords/>
  <dc:description/>
  <cp:lastModifiedBy>Zimmerman, Nicole K</cp:lastModifiedBy>
  <cp:revision>1</cp:revision>
  <dcterms:created xsi:type="dcterms:W3CDTF">2016-03-24T19:08:00Z</dcterms:created>
  <dcterms:modified xsi:type="dcterms:W3CDTF">2016-03-24T19:09:00Z</dcterms:modified>
</cp:coreProperties>
</file>